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ФИО1 и ФИО2 обратились в суд с заявлением о пересмотре по вновь открывшимся обстоятельствам определения Арбитражного суда города Москвы от 07.08.2019 о завершении конкурсного производства. Определением Арбитражного суда города Москвы от 13.01.2020, оставленным без изменения постановлениями Девятого арбитражного апелляционного суда от 08.06.2020 и Арбитражного суда Московского округа от 04.08.2020, в удовлетворении заявления отказано. В кассационной жалобе, поданной в Верховный Суд Российской Федерации, заявители просят отменить указанные судебные акты и направить дело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заявления, суд первой инстанции руководствовался положениями статей 309 - 312 Арбитражного процессуального кодекса Российской Федерации, пунктом 18 постановления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 и исходил из того, что указанное в нём обстоятельство не являлось вновь открывшимся в силу осведомлённости о нём заявителей на дату рассмотрения ходатайства конкурсного управляющего о завершении конкурсного производства, с чем впоследствии согласились суды апелляционной инстанции и округа.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заявителей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и ФИО2 в передаче поданной ими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Администрация города Владимира (подробнее) АО "ДОНЭНЕРГО" (подробнее) ИФНС 19 (подробнее) ИФНС №19 по г. Москве (подробнее) ОАО Акционерный коммерческий банк Московский областной банк (подробнее) ОАО "Мобилбанк" (подробнее) ОАО "Мобилбанк" в лице к/у ГК АСВ (подробнее) ОАО "Мобилбанк" ГК АСВ (подробнее) ООО "Инвестиционный Республиканский Банк" (подробнее) Ответчики: ОАО "Республиканская финансовая корпорация" (подробнее) Иные лица: К/у Светличная Людмила Владимировна (подробнее) МИФНС 46 ПО Г.МОСКВЕ (подробнее) НП "СОАУ "Континент" (подробнее) ОАО К/У "Республиканская Финансовая Корпорация" Воронина А.А. (подробнее) ПАО "МосОблБанк" (подробнее) УФМС России по г. Москве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