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лицензионного договора от 11.10.2017 (использование товарного знака №158), заключенного между должником и компанией. Определением Арбитражного суда города Москвы от 16.02.2021 заявление удовлетворено, применены последствия недействительности сделки в виде взыскания с компании в конкурсную массу должника денежных средств в размере 176 212 000 рублей. Постановлением Девятого арбитражного апелляционного суда от 29.04.2021 отменено определение суда первой инстанции от 16.02.2021, отказано в удовлетворении заявления. Постановлением Арбитражного суда Московского округа от 30.08.2021 отменено постановление апелляционного суда от 29.04.2021, оставлено в силе определение суда первой инстанции от 16.02.2021. 2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направить обособленный спор на новое рассмотрение в апелляционный суд.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округа, руководствуясь положениями статьи 61.2 Федерального закона от 26.10.2002 № 127-ФЗ «О несостоятельности (банкротстве)», обоснованно поддержал выводы суда первой инстанции о подтверждённости требований конкурного управляющего о совершении оспариваемой сделки заинтересованными лицами в пределах периода подозрительности при наличии признаков несостоятельности должника в отсутствие встречного исполнения, что привело к причинению вреда имущественным правам кредиторов должника.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заявитель просит отменить постановление Девятого арбитражного апелляционного суда от 29.04.2021.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указанной части противоречит правилам, 3 установленным частью 1 статьи 291.1 Арбитражного процессуального кодекса Российской Федерации, ввиду отмены обжалуемого акта суда апелляционной инстанции вступившим в силу постановлением суда округа от 30.08.2021. На основании изложенного и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«Хайскрин Лимитед»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Московского округа от 30.08.2021 по делу № А40-67946/2018 Арбитражного суда города Москвы. Прекратить производство по кассационной жалобе компании «Хайскрин Лимитед» в части обжалования постановления Девятого арбитражного апелляционного суда от 29.04.2021 по делу № А40-67946/2018 Арбитражного суда города Москвы.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