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09.03.2021, оставленным без изменения постановлением Восемнадцатого арбитражного апелляционного суда от 19.05.2021 и постановлением Арбитражного суда Уральского округа от 27.08.2021,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Челябинской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предъявленные взаимные требования общества (подрядчик) и предпринимателя (субподрядчик) основаны на договоре от 14.01.2020 № 2-В, о расторжении которого подрядчик уведомил субподрядчика в связи с нарушением последним срока выполнения работ.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обществом в пользу предпринимателя денежных средств по договору, его прекращения и отсутствие доказательств выполнения предпринимателем работ и сдачи их результата обществу, руководствуясь статьями 8 , 309 , 310 , 450 , 450.1 , 702 , 711 , 715 , 720 , 753 , 1102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иска. Суд округа поддержал выводы судов первой и апелляционной инстанции.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"Энергопром"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