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её требований в размере 1 881 256 654 рубля 31 копейка. Определением Арбитражного суда Ростовской области от 27.03.2019, оставленным без изменения постановлением Пятнадцатого арбитражного апелляционного суда от 07.06.2019, отказано в удовлетворении заявления. Постановлением Арбитражного суда Северо-Кавказского округа от 19.09.2019 указанные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Ростовской области от 19.03.2021, оставленным без изменения постановлениями Пятнадцатого арбитражного апелляционного суда от 10.06.2021 и Арбитражного суда Северо-Кавказского округа от 08.09.2021,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статей 19, 71 и 100 Федерального закона от 26.10.2002 № 127-ФЗ «О несостоятельности (банкротстве)», исходили из отсутствия оснований для удовлетворения заявления компании ввиду недоказанности реальности отношений, положенных в основу требований последней, указав, в том числе на наличие признаков противоправного поведения в действиях компании.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«Ройфорд Ентерпрайзес Лимитед»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