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индивидуальный предприниматель Бураков Андрей Владимирович (далее – предприниматель) обратился в суд с заявлением о правопреемстве кредитора – общества с ограниченной ответственностью «МосИнжСервис» на предпринимателя в части суммы требований в размере 1 691 983 рубля 43 копейки. Определением Арбитражного суда города Москвы от 25.02.2020 в удовлетворении заявления отказано. Постановлением Девятого арбитражного апелляционного суда от 27.08.2020 данное определение отменено, заявление удовлетворено. Постановлением Арбитражного суда Московского округа от 20.02.2021 отменено постановление апелляционного суда от 27.08.2020, обособленный спор направлен на новое рассмотрение в Девятый арбитражный апелляционный суд. При новом рассмотрении постановлением Девятого арбитражного апелляционного суда от 10.06.2021, оставленным без изменения постановлением Арбитражного суда Московского округа от 15.09.2021, отменено определение суда первой инстанции от 25.02.2020; заявление удовлетворено. В кассационной жалобе, поданной в Верховный Суд Российской Федерации, заявитель просит отменить названные постановления судов апелляционной инстанции и округа.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статьями 48, 184, 185 Арбитражного процессуального кодекса Российской Федерации, статьями 382, 384 Гражданского кодекса Российской Федерации, исходили из документально подтверждённого перехода к предпринимателю права требования к должнику, повлекшего правопреемство в материальном правоотношении, в связи с чем удовлетворили заявление. Выводы судов апелляционной инстанции и округа соответствуют нормам права, оснований их переоценки по доводам жалобы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Калашниковой Ирине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