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19.03.2021, оставленным без изменения постановлениями Пятнадцатого арбитражного апелляционного суда от 25.05.2021 и Арбитражного суда Северо-Кавказского округа от 10.09.2021, в удовлетворении заявленного требовании отказано. В жалобе министерство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информации, поступившей из Федеральной антимонопольной службы и Первого следственного управления, антимонопольным органом возбуждено дело № 061-01-11-413/2019 о возможном нарушении антимонопольного законодательства при организации и проведении открытого аукциона в электронной форме № 0358300077317000093 в отношении учреждения (организатор торгов – заказчик) и заказчиков – администрации Белокалитвенского района, администрации Боковского района, администрации Верхнедонского района, администрации Веселовского района, администрации Дубовского района, администрации Егорльжского района, администрации Заветинского района, администрации Милютинского района и администрации Волгодонского района по признакам нарушения части 1 статьи 17 Федерального закона от 26.07.2006 № 135-ФЗ «О защите конкуренции» (далее - Закон о защите конкуренции). Кроме того антимонопольным органом в отношении министерства, учреждения и общества по собственной инициативе возбуждено дело № 061-01-16-88/2020 по признакам нарушения статьи 16 Закона о защите конкуренции, по результатам рассмотрения которого принято оспариваемое решение о наличии в действиях министерства, учреждения и общества нарушений статьи 16 Закона о защите конкуренции.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суды, руководствуясь положениями статей 4, 16, 22 Закона о защите конкуренции, пришли к выводу о том, что оспариваемое решение антимонопольного органа соответствует требованиям действующего законодательства, не нарушает права и законные интересы заявителя. Судебные инстанции исходили из наличия антиконкурентного соглашения (соглашения о покупке товара у конкретного лица) между министерством, учреждением и обществом, которое могло привести к ограничению конкуренции среди лиц, которые на момент его заключения имели возможность поставить необходимый товар. 3 При исследовании обстоятельств дела установлено, что министерство фактически определило способ закупки водонапорных башен (далее – ВБР) – совместный открытый аукцион в электронной форме, организатора торгов – учреждения, объем денежных средств, выделенных из областного бюджета на приобретение ВБР, а также начальную (максимальную) цену контракта для каждого муниципального района; согласование (сопровождение) министерством действий организатора торгов и заказчиков на всем протяжении, начиная с формирования потребности в ВБР в 2016 году и заканчивая установкой ВБР в 2018 году; проведение совместных торгов позволило укрупнить закупку и привело к приобретению ВБР по завышенной цене; действия учреждения направлены на организацию и проведение торгов до предложения министерства о проведении совместных торгов; победитель аукциона – общество определен с нарушением норм законодательства в сфере закупок, товар принят при наличии существенных недостатков в ущерб интересов заказчиков, не полностью исполненные поставщиком контракты оплачены. Доводы кассационной жалобы были предметом исследования судов и получили исчерпывающую правовую оценку в обжалуемых судебных актах, не подтверждают существенных нарушений норм материального права и норм процессуального права, повлиявших на исход дела, по существу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жилищно-коммунального хозяйства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