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перечислений денежных средств в период с 03.04.2019 по 02.09.2019 в пользу Макарова Алексея Михайловича и Головачева М.А., применении последствий недействительности сделок. Определением Арбитражного суда Самарской области от 29.03.2021, оставленным без изменения постановлениями Одиннадцатого арбитражного апелляционного суда от 26.05.2021 и Арбитражного суда Поволжского округа от 07.09.2021, заявление удовлетворено.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Самарской области. Исходя из содержания настоящей жалобы, заявитель не согласен с указанными судебными актами в части удовлетворения требований к Головачеву М.А.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61.3, 61.6 и 184.14 Федерального закона от 26.10.2002 № 127-ФЗ «О несостоятельности (банкротстве)», установив осведомлённость Головачева М.А. о наличии у должника признаков несостоятельности на момент совершения сделок, а также их совершение заинтересованными лицами в пределах периода предпочтительности, пришли к выводу об обоснованности заявления конкурного управляющего, указав на следствие сделки – предпочтительное удовлетворение требований Головачева М.А.,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Доводы заявителя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Головачеву Михаилу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