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21.01.2021, оставленным без изменения постановлениями Девятнадцатого арбитражного апелляционного суда от 29.04.2021 и Арбитражного суда Центрального округа от 13.10.2021, в удовлетворении иска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муниципального контракта, заключенного с управлением, предприниматель выполнял работы по осуществлению регулярных перевозок по регулируемым тарифам по маршруту регулярных перевозок города Орла № 47 «Пер. Южный – Госуниверситет – УНПК». Полагая, что отказ управления в возмещении недополученных доходов в связи с осуществлением перевозок льготных категорий пассажиров является неправомерным, предприниматель обратился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16, 195, 196, 307, 309, 314, 393, 421, 790 Гражданского кодекса Российской Федерации, Положением о проездных билетах в городе Орле и Порядком предоставления субсидий перевозчикам, осуществляющим перевозку пассажиров по маршрутам регулярных перевозок города Орла, утвержденными постановлением администрации города Орла от 09.09.2015 № 3993 (далее – Постановлении № 3993), разъяснениями, изложенными в постановлениях Пленума Верховного Суда РФ от 23.06.2015 № 25 «О применении судами некоторых положений раздела I части первой Гражданского кодекса Российской Федерации», от 22.06.2006 № 23 «О некоторых вопросах применения арбитражными судами норм Бюджетного кодекса Российской Федерации», принимая во внимание условия заключенного муниципального контракта, суды пришли к выводу об отсутствии оснований для удовлетворения иска. Судебные инстанции исходили из того, что выплата перевозчикам субсидий в связи с осуществлением перевозок по ЕТК Постановлением № 3993 не предусмотрена, поскольку ЕТК номиналом 20, 40, 60 поездок к льготным не относятся. Суды указали, что предприниматель добровольно согласился с условиями контракта, который не предполагает субсидирование в полном объеме недополученных доходов от осуществления деятельности в сфере перевозки пассажиров. При исследовании обстоятельств дела установлено отсутствие доказательств того, что возникшая в деятельности предпринимателя отрицательная разница между понесенными затратами и полученными 3 доходами возникла по вине уполномоченного органа; отсутствие доказательств экономически обоснованной разницы между затратами перевозчика и установленной градацией тарифов; расчеты общего количества поездок по ЕТК не относятся ни к льготной категории поездок, ни к межтарифному регулированию; предпринимателем получен доход в виде доли нераспределенных денежных средств от пассажиров, не использовавших все поездки по ЕТК.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Буренко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