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Забайкальского края от 04.03.2021, оставленным без изменения постановлением Четвертого арбитражного апелляционного суда от 07.06.2021 и постановлением Арбитражного суда Уральского округа от 31.08.2021, заявление удовлетворено. В кассационной жалобе Иванова Т.О. просит об отмене судебных актов, ссылаясь на отсутствие законных условий для признания сделки недействительной и применение неправильных последствий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продажу автомобиля, являющегося общей совместной собственностью Ивановой Т.О. и должника, после возбуждения в отношении последнего дела о банкротстве при неравноценном встречном исполнении, сделки, причиняющем вред имеющимся у должника кредиторам,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Последствия недействительности сделки правомерно определены в целях банкротства должника в виде возврата имущества в конкурсную масс; права супруги определяются при реализации вошедшего в конкурсную массу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Татьяне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