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31.05.2021, оставленным без изменения постановлением Восемнадцатого арбитражного апелляционного суда от 02.08.2021 и постановлением Арбитражного суда Уральского округа от 28.10.2021, в удовлетворении заявления отказано. В кассационной жалобе общество просит об отмене судебных актов, ссылаясь на принятие их без учета позиции Конституционного Суда, злоупотребление должником правом и игнорирование наличия другого дома.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Невозможность реализации в деле о банкротстве должника спорной недвижимости как обладающей исполнительским иммунитетом установлена судами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 и не противоречит постановлению Конституционного Суда от 26.04.2021 № 15-П. Довод общества о злоупотреблении должником правом не влечет сложения исполнительского иммунитета, поскольку имевшая место сделка со спорным домом признана недействительной и он возвращен в конкурсную массу. Обращение взыскания на 1/2 спорного дома в порядке исполнения решения суда в отношении супруги должника не препятствует признанию исполнительского иммунитета.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«Правоинвест»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