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Челябинской области от 16.02.2021, оставленным без изменения постановлением Восемнадцатого арбитражного апелляционного суда от 24.05.2021 и постановлением Арбитражного суда Уральского округа от 16.09.2021, взыскано 1 212 701 рубль 07 копеек задолженности, 278 059 рублей 08 копеек неустойки и неустойка с 04.07.2020 по дату фактического исполнения обязательства по ставке 0,3% от суммы долга за каждый день просрочки. В кассационной жалобе торговый дом просит об отмене судебных актов, ссылаясь на наличие условия для применения договорного удержания спорной суммы и отсутствие согласованного размера неустойки.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Суды, установив оказание истцом (экспедитором) услуг по договору о предоставлении транспортно-экспедиторских услуг от 05.12.2016 № 051216 ТД и неоплату их ответчиком (заказчиком), удовлетворили иск в соответствии со статьями 330, 333, 779, 781 Гражданского кодекса Российской Федерации. Условий для применения согласованного договором права удержания суды не установили. Довод о несогласовании размера неустойки противоречит примененному судами условию договора.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«Торговый Дом «Здоровая Ферма»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