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22.03.2021, оставленным без изменения постановлением Восемнадцатого арбитражного апелляционного суда от 30.06.2021 и постановлением Арбитражного суда Уральского округа от 17.09.2021, в удовлетворении заявления отказано. В кассационной жалобе общество просит об отмене судебных актов, ссылаясь на неосновательное применение повышенного стандарта доказывания в целях, не связанных с защитой прав реестровых кредиторов, и отсутствие оценки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установленной взаимосвязи должника и кредитора суды признали недоказанным последним применительно к предъявляемым при банкротстве критериям реальности сделки, являющейся основанием для включения требования в реестр, поэтому отказали в удовлетворении заявления в силу статей 100, 213.24 Федерального закона от 26.10.2002 № 127-ФЗ «О несостоятельности (банкротстве)», статьей 10, 170, 807, 808 Гражданского кодекса Российской Федерации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Иная оценка заявителем обстоятельств заключения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«ТЗК-Урал»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