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15.01.2019, оставленным без изменения постановлением Семнадцатого арбитражного апелляционного суда от 24.06.2021 и постановлением Арбитражного суда Уральского округа от 20.09.2021, процедура реализации имущества должника завершена, должник освобожден от дальнейшего исполнения требований кредиторов. В кассационной жалобе Головин Д.А. просит об отмене судебных актов, ссылаясь на ненадлежащую оценку поведения должника и его как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и своих действий в рамках исполнительного производства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Головину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