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11.03.2021 иск удовлетворен. Постановлением Одиннадцатого арбитражного апелляционного суда от 25.05.2021 решение суда первой инстанции отменено, с организации в пользу общества взыскано 1 898 206 руб. неустойки, в удовлетворении остальной части иска отказано. Постановлением Арбитражного суда Поволжского округа от 20.08.2021 постановление суда апелляционной инстанции оставлено без изменения. 2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несоответствие их выводов фактическим обстоятельствам дела, просит отменить постановления от 25.05.2021, от 20.08.2021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 от 09.07.2013 № 421/Ф, установив факт нарушения ответчиком срока оплаты по договору, руководствуясь статьями 309, 310, 314, 329, 330 Гражданского кодекса Российской Федерации, суд апелляционной инстанции пришел к выводу о наличии оснований для удовлетворения иска в части с учетом перерасчета неустойки ввиду неверного определения обществом суммы, от которой произведен расчет неустойки, и периода просрочки. Суд округа поддержал выводы апелляционного суда. Доводы кассационной жалобы по существу сводятся к иной оценке доказательств и фактических обстоятельств спора и не подтверждают существенных нарушений апелляционным и окружным судами норм материального и (или) процессуального права,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«ПФ «Беркет»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