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04.03.2021, оставленным без изменения постановлением Тринадцатого арбитражного апелляционного суда от 01.06.2021 и постановлением Арбитражного суда Северо-Западного округа от 01.09.2021, в удовлетворении заявления отказано. В кассационной жалобе Куранова М.С. просит о пересмотре судебных актов, ссылаясь на неисследование существенных обстоятельств обоснованности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необоснованность применительно к критериям статей 71, 100 Федерального закона от 26.10.2002 № 127-ФЗ «О несостоятельности (банкротстве)», пункта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требования для включения его в реестр. Требуемое в жалобе изменение оценки исследованных обстоятельств не попадает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Курановой Марине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