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05.03.2021, оставленным без изменения постановлением Девятого арбитражного апелляционного суда от 15.06.2021 и постановлением Арбитражного суда Московского округа от 24.09.2021, иск удовлетворен частично. В кассационной жалобе общество «РНГ» просит об отмене судебных актов, ссылаясь на отсутствие правовой оценки довода о несоразмерности неустойки.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об отсутствии правовой оценки заявлению о несоразмерности неустойки опровергается содержанием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