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18.01.2021, оставленным без изменения постановлением Девятого арбитражного апелляционного суда от 31.05.2021, в удовлетворении заявления отказано. Постановлением Арбитражного суда Московского округа от 01.09.2021 определение от 18.01.2021 и постановление апелляционного суда от 31.05.2021 отменены, спор направлен на новое рассмотрение в суд первой инстанции. В кассационной жалобе Борисов С.В. просит отменить постановление окружного суда как принятое с превышением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обстоятельств совершения сделок, влияющих на судьбу заявленного в отношении них требования, для чего признал необходимость нового рассмотрения спора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Борисову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