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12.04.2021, оставленным без изменения постановлением Девятого арбитражного апелляционного суда от 15.06.2021 и постановлением Арбитражного суда Московского округа от 02.09.2021, в удовлетворении заявления отказано. В кассационной жалобе Мошкин А.Г. и Гудков Ю.В. просят об отмене судебных актов, ссылаясь на оспаривание сделки по иным нежели финансовый управляющий основаниям и неисследование их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сделки оспаривались ранее финансовым управляющим должника и в удовлетворении его заявления отказано. Доводы заявителей о том, что сделки не проверялись на соответствие статье 170 Гражданского кодекса Российской Федерации не подтверждают различия в заявляемых финансовым управляющим и кредиторами в банкротстве должника обстоятельствах заключения сделок и противоречат статьям 16,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Мошкину Андрею Германовичу и Гудкову Юрию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