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17.02.2021, оставленным без изменения постановлением Девятого арбитражного апелляционного суда от 28.05.2021 и постановлением Арбитражного суда Московского округа от 08.09.2021, первоначальный иск удовлетворен частично, в удовлетворении встречного иска отказано. В кассационной жалобе общество «Скания Лизинг» просит о пересмотре судебных актов, ссылаясь на несоответствие их договору в части определения стоимости предмета лизинга.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пределах компетенции признали недобросовестными действия общества «Скания Лизинг» в вопросах оценки и реализации предметов лизинга, поэтому применили для расчета сальдо взаимных обязательств сторон определенную экспертным путем их стоимость.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«Скания 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