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26.05.2021, оставленным без изменения постановлением Одиннадцатого арбитражного апелляционного суда от 13.07.2021 и постановлением Арбитражного суда Поволжского округа от 21.09.2021, в удовлетворении заявления отказано. В кассационной жалобе Владимиров А.В. просит об отмене судебных актов, ссылаясь на неполное исследование необходимых для разрешения спора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совершения оспариваемого договора и признали не доказанным прикрытие им сдачу имущества должника в аренду и получение арендной платы в обход конкурсной массы, необходимого для констатации недействительности сделки в силу статей 10, 170 Гражданского кодекса Российской Федерации. Требуемое в жалобе изменение оценки обстоятельств заключения договора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Владимирову Алексею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