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Самарской области от 24.02.2021, оставленным без изменения постановлением Одиннадцатого арбитражного апелляционного суда от 27.04.2021 и постановлением Арбитражного суда Поволжского округа от 31.08.2021, взыскано 177 692 рубля процентов за пользование чужими денежными средствами. В кассационной жалобе компания просит об отмене судебных актов, ссылаясь не неосновательное неприменение законной неустойки.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2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что в правоотношениях, возникающих из договора от 30.12.2016 № 45-30006/17, стороны не являются поставщиком и потребителем в понятиях, определенных статьей 25 Федерального закона от 31.03.1999 № 69-ФЗ «О газоснабжении в Российской Федерации», поэтому правомерно отказали во взыскании предусмотренной этой нормой неустойки. Основания для применения указанной нормы по аналогии при наличии другого вида ответственности (статья 395 Гражданского кодекса Российской Федерации) отсутствуют.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«Средневолжская газовая компания»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