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Орловской области от 05.09.2019 отказано в удовлетворении заявления Перегняка А.В. о признании обоснованным и подлежащим включению в реестр должника требования в размере 4 149 710 долларов США. Определением Арбитражного суда Орловской области от 13.04.2021, оставленным без изменения постановлением Девятнадцатого арбитражного апелляционного суда от 12.07.2021 и постановлением Арбитражного суда Центрального округа от 14.10.2021, Перегняку А.В. отказано в пересмотре по вновь открывшимся обстоятельствам определения от 05.09.2019. В кассационной жалобе Перегняк А.В. просит об отмене судебных актов как нарушающих единообразие в толковании и применении норм права.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спорное обстоятельство не связано с заявленными основаниями (обстоятельствами) для включения требования в реестр и повлекло бы в случае осведомленности о нем в период принятия определения от 05.09.2019 разрешение судьбы требования по-иному, поэтому признали его не соответствующим пункту 1 части 2 статьи 311 Арбитражного процессуального кодекса Российской Федерации. Влияние заявленного обстоятельства на пересмотр судебного акта оценивается в каждом конкретном случае и такая оценка не подчиняется единообразию.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Перегняку Андрею Викторовичу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