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«Кузнецкий проект» (далее – дебитор) и кредитор обратились в суд с заявлениями, объединёнными в одно производство для совместного рассмотрения, о признании недействительными результатов торгов, проведенных в форме публичного предложения по продаже дебиторской задолженности (лот № 2) должника. Определением Арбитражного суда Пензенской области от 29.04.2021, оставленным без изменения постановлениями Одиннадцатого арбитражного апелляционного суда от 06.07.2021 и Арбитражного суда Поволжского округа от 23.09.2021,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447 – 449 Гражданского кодекса Российской Федерации, статьями 110, 111, 139 Федерального закона от 26.10.2002 № 127-ФЗ «О несостоятельности (банкротстве)», исходили из того, что при организации и проведении оспариваемых торгов в форме публичного предложения не допущено нарушений норм действующего законодательства, прав и законных интересов должника, дебитора, заявителя и иных кредиторов, которые могли повлечь недействительность самих торгов и заключенной по их результатам сделки.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Артёмову Артёму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