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«Аркадия» обратилось в суд с заявлением об исключении из реестра требований кредиторов должника (далее – реестр) требований общества с ограниченной ответственностью «Таргет Инвест» (далее – общество) в размере 6 134 950 237 рублей 58 копеек. Определением Арбитражного суда Смоленской области от 26.02.2021, оставленным без изменения постановлениями Двадцатого арбитражного апелляционного суда от 26.02.2021 и Арбитражного суда Центрального округа от 31.08.2021,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в Арбитражный суд Смоленской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6 статьи 16 Федерального закона от 26.10.2002 № 127-ФЗ «О несостоятельности (банкротстве)», пунктом 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не установили предусмотренных законом оснований для исключения требования общества из реестра.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антикризисного управления «Стратегия»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