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06.04.2021, оставленным без изменения постановлением Двенадцатого арбитражного апелляционного суда от 09.06.2021 и постановлением Арбитражного суда Поволжского округа от 07.09.2021, признано обоснованным требование Калиева Р.М., заявленное после закрытия реестра и подлежащее удовлетворению за счет имущества должника, оставшегося после удовлетворения требований кредиторов, включенных в реестр. В кассационной жалобе Хаманова М.К. просит об отмене судебных актов, ссылаясь на неправомерность отказа в приостановлении рассмотрения спора и неснижения размера процентов на основании пункта 5 статьи 809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Случаев применения статьи 143 Арбитражного процессуального кодекса Российской Федерации в рассматриваемом споре должник суд не установил. Применение пункта 5 статьи 809 Гражданского кодекса Российской Федерации отнесено к компетенции суда первой инстанции и его решение по этому вопросу не подлежит пересмотру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Хамановой М.К.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