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28.12.2020, оставленным без изменения постановлением Тринадцатого арбитражного апелляционного суда от 11.04.2021 и постановлением Арбитражного суда Северо-Западного округа от 26.08.2021,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Как следует из судебных актов, требования общества (подрядчик) мотивированы тем, что им в рамках договора подряда от 30.04.2019 № ЗСНХ.4656-суб выполнены строительно-монтажные и пусконаладочные работы, результат которых передан компании (заказчик) по актам, однако последняя от приемки и оплаты работы уклонилась.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предъявленные обществом к оплате строительно-монтажные и пусконаладочные работы не были предусмотрены договором, их стоимость сторонами не согласовывалась, суды первой и апелляционной инстанций пришли к выводу об отсутствии у компании обязанности по оплате этих работ. При таких обстоятельствах, руководствуясь статьями 309, 310, 702, 711, 720, 743, 746, 753 Гражданского кодекса Российской Федерации, суды отказали в удовлетворении исковых требований. Суд округа поддержал выводы судов первой и апелляционной инстанций.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судами норм материального и (или) процессуального права,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«Альянс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