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общество подало ходатайство в пределах указанного срока, суд считает возможным его удовлетворить и на основании части 2 статьи 291.2 АПК РФ восстановить пропущенный на один день процессуальный срок на подачу жалобы.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«БелТрансГруп» о восстановлении пропущенного процессуального срока на подачу кассационной жалобы на решение Арбитражного суда Белгородской области от 12.01.2021, постановление Девятнадцатого арбитражного апелляционного суда от 22.04.2021 и постановление Арбитражного суда Центрального округа от 19.08.2021 по делу № А08-5584/2020. Судья Верховного Суда Российской Федерации Н.С. Чучунова Суд: Верховный Суд РФ (подробнее) Истцы: ООО "БелТрансГруп" (подробнее) Ответчики: ООО "ТранзитГазавтосервис"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