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09.03.2021, оставленным без изменения постановлениями Девятого арбитражного апелляционного суда от 25.05.2021 и Арбитражного суда Московского округа от 03.09.2021, в удовлетворении заявленного требования отказано. 2 В кассационной жалобе учреждение ставит вопрос об отмене принятых по делу судебных актов, ссылаясь на нарушение судами норм материального и процессуального права, заявляя довод о том, что укрупнение лота в спорной закупке было вызвано объективной необходимостью.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решением заявителю отказано в согласовании заключения контракта с единственным поставщиком (подрядчиком, исполнителем) в рамках электронного аукциона ввиду наличия в действиях учреждения нарушений пункта 1 части 1 статьи 31, пункта 1 части 1 статьи 64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44-ФЗ), выразившихся в объединении в один предмет закупки различных работ, а также отсутствии в документации требований о членстве участника закупки в саморегулируемой организации. Не согласившись с выводами антимонопольного органа, ФКУ Упрдор «Кола» обратилось в арбитражный суд с соответствующим заявлением. Исследовав и оценив представленные в материалы дела доказательства, проанализировав положение об аукционной документации, руководствуясь положениями Закона № 44-ФЗ, Градостроительного кодекса Российской Федерации, Федерального закона от 26.07.2006 № 135-ФЗ «О защите конкуренции», пунктом 4 раздела 2 Приказа Минтранса России от 16.11.2012 3 № 402 «Об утверждении Классификации работ по капитальному ремонту, ремонту и содержанию автомобильных дорог», суды признали доказанными выводы антимонопольного органа, изложенными обстоятельствами в оспариваемом ненормативном правовом акте. Так, суды пришли к выводу о том, что объединение в один лот выполнение работ по текущему ремонту участков автомобильных дорог в пяти субъектах Российской Федерации, участки которых не граничат друг с другом, а также отсутствие в документации спорного аукциона требования о наличии членства участника закупки в реестре членов саморегулируемой организации, учитывая, что объектом закупки также является выполнение капитального ремонта, является нарушением вмененных положений законодательства о контрактной системе. Обстоятельства данного спора и представленные доказательства были предметом рассмотрения и оценки судов. Доводы жалобы основаны на неверном толковании положений законодательства, не опровергают выводы судов, связаны с оценкой доказательств по делу, установленных судами и положенных в основу судебных актов, не подтверждают существенных нарушений судами норм материального и (или) процессуального права и не могут служить основанием для передачи жалобы на рассмотрение Судебной коллегии Верховного Суда Российской Федерации.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«Управление автомобильной магистрали Санкт-Петербург - Мурманск Федерального дорожного агентства»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