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24.03.2021, оставленным без изменения постановлением Одиннадцатого арбитражного апелляционного суда от 28.05.2021 и постановлением Арбитражного суда Поволжского округа от 14.09.2021, производство по делу в части требования общества о взыскании неосновательного обогащения прекращено, в удовлетворении остальной части первоначального иска и в удовлетворении встречного иска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в части прекращения производства по требованию общества о взыскании неосновательного обогащения и отказа в удовлетворении его требования о взыскании процентов.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Прекращая производство по требованию общества о взыскании неосновательного обогащения на основании пункта 2 части 1 статьи 150 Арбитражного процессуального кодекса Российской Федерации, суд первой инстанции исходил из тождественности исков по настоящему делу и делу № А72-6842/2019, судебный акт по которому вступил в законную силу. Отказывая в удовлетворении требования общества о взыскании процентов за пользование чужими денежными средствами, суд исходил из отсутствия на стороне компании неосновательного обогащения. Суды апелляционной инстанции и округа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«ЭНЭКО 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