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25.03.2021 оставленным без изменения постановлением Девятого арбитражного апелляционного суда от 30.06.2021, иск удовлетворен. Арбитражный суд Московского округа постановлением от 24.09.2021 решение от 25.03.2021 и постановление апелляционного суда от 30.06.2021 оставил без изменения. В кассационной жалобе общество «ИНВЕНТРА» просит об отмене судебных актов, ссылаясь на неверное определение периода убытков, игнорирование их ограничения и неснижение суммы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Предметом иска являются согласованные договором транспортной экспедиции от 10.09.2019 № 10/09/19-1 плата за простой транспортного средства и убытки от невозможности исполнения обязательств перед другими контрагентами в связи с простоем, поэтому к правоотношениям сторон применены договор и статьи 15, 393 Гражданского кодекса Российской Федерации. Доводы о необходимости применения норм об аренде и уменьшении неустойки противоречат характеру правоотношений сторон и предмету иска. Суды установили, что обстоятельства, повлекшие невозможность исполнения обязательства, учтены истцом в расчете, а для освобождения в большем размере основание отсутствует (пункт 3 статьи 401 Гражданского кодекса Российской Федерации),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«ИНВЕНТРА»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