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ФИО3 обратилась в суд с заявлением о включении в реестр требований кредиторов должника (далее – реестр) задолженности в размере 5 000 000 рублей и ходатайством о восстановлении срока для включения в реестр. Определением Арбитражного суда Самарской области от 17.07.2018, оставленным без изменения постановлениями Одиннадцатого арбитражного апелляционного суда от 04.10.2018 и Арбитражного суда Поволжского округа от 18.01.2019, ходатайство и заявление удовлетворены.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 , 809 , 810 Гражданского кодекса Российской Федерации, статьями 32,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реальности заёмных отношений между должником и ФИО3, документального подтверждения наличия у последней финансовой возможности для предоставления должнику указанной суммы заимствования.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