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(далее – реестр) требования в размере 7 200 000 рублей. Определением Арбитражного суда города Москвы от 09.03.2021 заявление удовлетворено. Постановлением Девятого арбитражного апелляционного суда от 25.06.2021, оставленным без изменения постановлением Арбитражного суда Московского округа от 01.09.2021,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19, 71, 100 Федерального закона от 26.10.2002 № 127-ФЗ «О несостоятельности (банкротстве)», пунктом 26 постановления Пленума Высшего Арбитражного Суда РФ от 22.06.2012 № 35 «О некоторых процессуальных вопросах, связанных с рассмотрением дел о банкротстве», исходили из недоказанности наличия и размера задолженности перед обществом, в связи с чем отказали в удовлетворении заявления.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«Юридическое бюро «ЭФЛЕС»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