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24.09.2019, оставленным без изменения постановлением Девятого арбитражного апелляционного суда от 26.12.2019, первоначальный иск удовлетворен, в удовлетворении встречного иска отказано. Постановлением Арбитражного суда Московского округа от 17.08.2020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 в указанной части.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и доводы сторон относительно объема и стоимости выполненных работ, и с учетом результата их оценки в совокупности и взаимосвязи принять обоснованное решение с учетом норм применимого законодательства.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АО "МОСКОВСКОЕ КОНСТРУКТОРСКОЕ БЮРО "КОМПАС" (подробнее) Ответчики: Министерство обороны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