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13.04.2021, оставленным без изменения постановлением Девятнадцатого арбитражного 2 апелляционного суда от 17.06.2021 и постановлением Арбитражного суда Центрального округа от 04.10.2021, в удовлетворении заявленного требования отказано.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незаконных валютных операций, в связи с выдачей заработной платы иностранным гражданам наличными денежными средствами без использования банковского счета. Частью 1 статьи 15.25 КоАП РФ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3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КоАП РФ. При рассмотрении настоящего спора суды не установили объективных препятствий для соблюдения обществом запретов и ограничений, предусмотренных нормами валютного законодательства, а равно принятие обществом исчерпывающих мер для соблюдения требований законодательства. Суды признали, что процедура привлечения к административной ответственности не нарушена, срок давности привлечения к ответственности соблюден, штраф назначен в пределах санкции нормы. Изложенные в жалобе доводы относительно отсутствия вины общества в связи с нежеланием работников открывать счета в банках со ссылкой на нормы трудового законодательства были предметом исследования судов первой и апелляционной инстанций и получили исчерпывающую правовую оценку. Доводы общества не опровергают выводов судов, направлены на переоценку установленных обстоятельств и представленных по делу доказательств, что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