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«Научный практический центр ПроектСтройДиагностика» (далее – общество). 2 Решением Арбитражного суда Республики Коми от 22.12.2020, оставленным без изменения постановлением Второго арбитражного апелляционного суда от 02.04.2021, в иске отказано. Постановлением Арбитражного суда Волго-Вятского округа от 23.08.2021 указанные судебные акты оставлены без изменения. Общество в кассационной жалобе просит отменить состоявшиеся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309, 310, 450, 450.1, 715 758, 763 Гражданского кодекса Российской Федерации, статьи 95 Федерального закона от 05.04.2013 №44-ФЗ «О контрактной системе в сфере закупок товаров, работ, услуг для обеспечения государственных и муниципальных нужд», суды в иске отказали, признав односторонний отказ заказчика от исполнения контракта обоснованным в связи с ненадлежащим исполнением подрядчиком своих обязательств. Приведенные в жалобе доводы, которые были предметом исследования и оценки судов, не свидетельствуют о наличии оснований для отмены в 3 кассационном порядке оспариваемых судебных актов, поскольку фактически сводятся к несогласию с выводами судов по обстоятельствам дела.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об участии в судебном заседании путем использования систем видеоконференц-связи не подлежит удовлетворению.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