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24.12.2020, оставленным без изменения постановлением Тринадцатого арбитражного апелляционного суда от 28.05.2021, в удовлетворении требования отказано. Постановлением Арбитражного суда Северо-Западного округа от 06.09.2021 указанные судебные акты оставлены без изменения. Общество просит отменить обжалуемые судебные акты, заявленные требования удовлетворить. По смыслу части 1 статьи 2911, части 7 статьи 2916,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149, 170, 171, 172 Налогового кодекса Российской Федерации, суды отказали в удовлетворении требования, в том числе, в отсутствие ведения налогоплательщиком раздельного учета не облагаемых налогом на добавленную стоимость операций и операций, подлежащих налогообложению. Приведенные в жалобе доводы связаны с оценкой доказательств и установлением фактических обстоятельств по делу, связанных с определением характера планируемых услуг с учетом целевого назначения объекта, что не 3 относится к компетенции Судебной коллегии Верховного Суда Российской Федерации. Ссылка на судебную практику подлежит отклонению, поскольку касается иных фактических обстоятельств дела, связанных с вопросом соблюдения порядка, установленного статьями 171 и 172 Налогового кодекса Российской Федерации при приобретении налогоплательщиками товаров, работ, услуг для осуществления операций, признаваемых объектом налогообложения.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