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07.06.2021, оставленным без изменения постановлением Пятнадцатого арбитражного 2 апелляционного суда от 18.08.2021, в удовлетворении заявленных требований отказано. Постановлением Арбитражного суда Северо-Кавказского округа от 22.10.2021 указанные судебные акты оставлены без изменения. Общество в кассационной жалобе просит состоявшиеся по делу судебные акты отменить, считая их незаконными и необоснованными. При изучении доводов жалобы, дополнений к ней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2 статьи 14.1.3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Оценив представленные доказательства, руководствуясь положениями статей 161, 162 Жилищного кодекса Российской Федерации, Правил содержания общего имущества в многоквартирном доме, утвержденных постановлением Правительства Российской Федерации от 13.08.2006 № 491, Правил и норм технической эксплуатации жилищного фонда, утвержденных постановлением Госстроя Российской Федерации от 27.09.2003 № 170, суды пришли к выводу о наличии в действиях общества состава правонарушения, ответственность за совершение которого предусмотрена частью 2 статьи 14.1.3 Кодекса Российской Федерации об административных правонарушениях. Суды признали, что процедура и срок давности привлечения к ответственности соблюдены, установив, что проверка в порядке, установленном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3 проводилась, а поводом для возбуждения дела об административном правонарушении явилось непосредственное обнаружение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Указанные выводы в жалобе не опровергнуты. Оснований для применения статьи 2.9 Кодекса Российской Федерации об административных правонарушениях не выявлено. Вопреки доводам жалобы дело рассмотрено судом округа согласно части 51 статьи 211 Арбитражного процессуального кодекса Российской Федерации по правилам части 2 статьи 2882 Арбитражного процессуального кодекса Российской Федерации в соответствии с разъяснениями, изложенными в пунктах 44, 45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Обзоре судебной практики Верховного Суда Российской Федерации № 1 (2021), утвержденном Президиумом Верховного Суда Российской Федерации 07.04.2021 (в ответе на вопрос 3 разъяснений по вопросам применения судебной практики). Иные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