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06.04.2021, оставленным без изменения постановлением Пятого арбитражного апелляционного суда от 08.07.2021 и постановлением Арбитражного суда Дальневосточного округа от 28.09.2021, в удовлетворении заявления отказано. В кассационной жалобе Горбуль Н.Б. просит о пересмотре судебных актов, ссылаясь на неопровержение его разумных сомнений в отношении действительности и реальности сделки, неисследование судом общей юрисдикции факта передачи денежных средств и неоспаривание в деле о их взыскании расписки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Отказывая в признании сделки недействительной, суды исходили из реального характера заемных отношений, недоказанности мнимости и безденежности сделки, а также учли, что действительность спорного договора займа (расписки) ранее являлась предметом рассмотрения суда общей юрисдикции по заявлению должника. Изложенные в жалобе доводы не подтверждены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Горбулю Н.Б.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