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«РНХ» обратилось в Арбитражный суд города Москвы с иском к индивидуальному предпринимателю Иванову Валерию Евгеньевичу (далее – предприниматель) о взыскании 153 800 руб. убытков. Решением Арбитражного суда города Москвы от 20.02.2021 исковые требования удовлетворены частично. Предприниматель обратился в Девятый арбитражный апелляционный суд с апелляционной жалобой на решение суда первой инстанции, заявив ходатайство о восстановлении пропущенного процессуального срока. Девятый арбитражный апелляционный суд определением от 28.06.2021, оставленным без изменения постановлением Арбитражного суда Московского округа от 19.08.2021, прекратил производство по апелляционной жалобе предпринимателя. 2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вопрос по апелляционной жалобе, суд апелляционной инстанции руководствовался положениями статей 117, 150, 259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того, что жалоба подана с пропуском процессуального срока на обжалование решения суда первой инстанции, при этом уважительных причин для восстановления данного срока не имеется. При таких обстоятельствах апелляционный суд прекратил производство по жалобе заявителя, с чем впоследствии согласился суд округа. Доводы заявителя кассационной жалобы выводы судов апелляционной инстанции и округа не опровергают и не свидетельствуют о наличии оснований для передачи жалобы на рассмотрение в судебном заседании. При этом в отношении жалобы на решение суда первой инстанции от 20.02.2021 необходимо отметить, что вопреки положениям статьи 291.1 Арбитражного процессуального кодекса Российской Федерации она подана с нарушением правил подсудности, так как данное решение не было предметом рассмотрения по существу судов апелляционной инстанции и округа, в связи с чем применительно к положениям статьи 150 Арбитражного процессуального кодекса Российской Федерации производство по жалобе в этой части подлежит прекращению.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индивидуального предпринимателя Иванова Валерия Евгеньевича в части обжалования решения Арбитражного суда города Москвы от 20.02.2021 по делу № А40-255068/2019. В остальной части 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