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27.04.2021, оставленным без изменения постановлением Пятого арбитражного апелляционного суда от 20.07.2021 и постановлением Арбитражного суда Дальневосточного округа от 01.10.2021,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2 отменить указанные судебные акты и принять по делу новый судебный акт об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иска, суды руководствовались статьями 12, 166, 168, 178, 179, 181, 195, 196, 197, 199 Гражданского кодекса Российской Федерации и исходили из недоказанности истцом факта заключения им оспариваемых договоров под влиянием обмана или существенного заблуждения, а также пропуска им срока исковой давности, о чем было заявлено ответчиками. Выводы судов подробно мотивированы в обжалуемых судебных актах.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«Горный ключ»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