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28.12.2020 в удовлетворении иска отказано. С общества в пользу компании взыскано 1 073 152 руб. 24 коп. неосновательного обогащения. Постановлением Одиннадцатого арбитражного апелляционного суда от 07.06.2021 решение суда первой инстанции отменено, в удовлетворении иска отказано. Постановлением Арбитражного суда Поволжского округа от 27.08.2021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выражая несогласие с выводами судов в части расчета сальдо встречных обязательств, просит отменить постановления от 07.06.2021, 2 от 27.08.2021 и направить дело на новое рассмотрение в Одиннадцатый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произведя расчет сальдо встречных обязательств по договору лизинга, суд апелляционной инстанции пришел к выводу об отсутствии на стороне ответчика неосновательного обогащения, в связи с чем отказал в удовлетворении иска. Суд округа поддержал выводы апелляционного суда. Доводы кассационной жалобы не подтверждают существенных нарушений апелляционным и окружным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выражают несогласие с произведенным расчетом сальдо встречных обязательств,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«МТЛ»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