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08.12.2020, оставленным без изменения постановлением Девятого арбитражного апелляционного суда от 16.03.2021 и постановлением Арбитражного суда Московского округа от 23.08.2021, в удовлетворении иска отказано. В кассационной жалобе, поданной в Верховный Суд Российской Федерации, общество, ссылаясь на нарушение судами норм права, просит отменить указанные судебные акты и направить дело на новое рассмотрение в Арбитражный суд города Москвы.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2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принятых по делу судебных актов и доводов кассационной жалобы не установлено. Разрешая спор и отказывая в иске, суды первой и апелляционной инстанций руководствовались статьями 15, 393 Гражданского кодекса Российской Федерации, разъяснениями, изложенными в постановлении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и, исследовав и оценив представленные в материалы дела доказательства по правилам статьи 71 Арбитражного процессуального кодекса Российской Федерации, пришли к выводу о недоказанности истцом наличия совокупности условий, необходимых для взыскании с ответчика убытков. Суд округа поддержал выводы судов первой и апелляционной инстанций. Доводы кассационной жалобы сводятся к изложению обстоятельств дела, которые были предметом исследования и оценки судов, что не свидетельствует о допущенных ими нарушениях норм материального и процессуального права. Существенных нарушений норм материального и процессуального права, повлиявших на исход дела, указанные в жалобе доводы не подтверждают и не являются достаточным основанием для пересмотра судебных актов в кассационном порядке.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«Шумшу»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