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18.02.2021, оставленным без изменения постановлением Четвертого арбитражного апелляционного суда от 28.04.2021 и постановлением Арбитражного суда Восточно-Сибирского округа от 30.08.2021,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поставки предпринимателем товара по спорному договору и неисполнения обществом обязанности по его оплате в полном объеме, руководствуясь статьями 309, 310, 395, 486, 506, 516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«Успех»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