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28.04.2021, оставленным без изменения постановлением Шестого арбитражного апелляционного суда от 21.06.2021 и постановлением Арбитражного суда Дальневосточного округа от 14.09.2021, с компании в пользу общества взыскано 45 221 руб. убытков, в удовлетворении остальной части исковых требований отказано. В кассационной жалобе, поданной в Верховный Суд Российской Федерации, общество, ссылаясь на нарушение судами норм материального 2 и процессуального права, просит отменить указанные судебные акты в части отказа в удовлетворении требования о взыскании упущенной выгоды и направить дело на новое рассмотрение в соответствующий арбитражный суд.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результатам изучения состоявшихся по делу судебных актов и доводов кассационной жалобы не установлено. Разрешая спор в обжалуемой части, суды первой и апелляционной инстанций руководствовались статьями 15, 393 Гражданского кодекса Российской Федерации и, исследовав и оценив по правилам статьи 71 Арбитражного процессуального кодекса Российской Федерации представленные в материалы дела доказательства, в том числе заключение судебной экспертизы, в котором определена величина неполученных обществом доходов в спорный период, признали обоснованным требование общества о взыскании с компании убытков в виде упущенной выгоды в размере 3903 руб. Суд округа поддержал выводы судов первой и апелляционной инстанций. Доводы кассационной жалобы по существу сводятся к иной оценке доказательств и фактических обстоятельств спора и не подтверждают существенных нарушений судами норм материального и (или) процессуального права, в связи с чем оснований для передачи жалобы для рассмотрения в судебном заседании Судебной коллегии Верховного Суда Российской Федерации не имеется.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«Винлаб Владивосток»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