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31.05.2021, оставленным без изменения постановлениями Девятого арбитражного апелляционного суда от 09.08.2021 и Арбитражного суда Московского округа от 19.10.2021,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обращения общества о получении разрешения на право применения яда - метанола на территории Российской Федерации Департаментом общественного здоровья, коммуникаций и экспертной деятельности министерства письмом от 27.11.2020 № 28-1/2297 разъяснено, что министерство не уполномочено выдавать разрешения на право применения яда - метанола на территории Российской Федерации. Не согласившись с решением министерства, общество обратилось в арбитражный суд. Исследовав и оценив представленные в материалы дела доказательства, руководствуясь постановлением Правительства Российской Федерации от 29.12.2007 № 964 «Об утверждении списков сильнодействующих и ядовитых веществ для целей статьи 234 и других статей Уголовного кодекса Российской Федерации, а также крупного размера сильнодействующих веществ для целей статьи 234 Уголовного кодекса Российской Федерации», постановлением Правительства Российской Федерации от 10.12.1992 № 959 «О поставках продукции и отходов производства, свободная реализация которых запрещена», Указом Президента Российской Федерации от 22.02.1992 № 179 «О видах продукции (работ, услуг) и отходов производства, свободная реализация которых запрещена», Положением о Министерстве здравоохранения Российской Федерации, утвержденным постановлением Правительства Российской Федерации от 19.06.2012 № 608, суды пришли к выводу об отсутствии оснований для удовлетворения заявленного требования. Судебные инстанции исходили из отсутствия у министерства полномочий на выдачу разрешений на право применения яда-метанола. При этом суды указали, что министерство не является органом, выдающим разрешительные документы в отношении оборота ядовитых веществ, не являющихся лекарственными средствами, учли, что метиловый спирт (метанол) в качестве лекарственного средства для медицинского применения не 3 зарегистрирован и не внесен в государственный реестр лекарственных средств медицинского применения. Доводы кассационной жалобы основаны на ошибочном толковании норм права, повторяют позицию общества по спору,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«ОПТИМЭКС»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