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Макрушина Николая Николаевича финансовый управляющий имуществом должника Меженок А.Е. обратился в Арбитражный суд Кемеровской области с заявлением о признании недействительной сделкой договора купли-продажи автомобиля от 30.04.2019, заключенного между Макрушиным Н.Н. и Буториным Кириллом Михайловичем, и применении последствий недействительности сделки в виде обязания Буторина К.М. передать в конкурсную массу должника спорный автомобиль. Определением Арбитражного суда Кемеровской области от 04.05.2021 заявление удовлетворено. Определением от 21.06.2021 Седьмой арбитражный апелляционный суд перешел к рассмотрению обособленного спора по правилам, установленным для рассмотрения дела в суде первой инстанции, и привлек к участию в обособленном споре Макрушину Наталью Геннадьевну. Постановлением Седьмого арбитражного апелляционного суда от 09.07.2021 определение суда первой инстанции отменено, признан недействительным договор купли-продажи автомобиля от 30.04.2019, 2 заключенный между Макрушиным Н.Н. и Буториным К.М., применены последствия недействительности сделки в виде обязания Буторина К.М. возвратить в конкурсную массу должника спорный автомобиль. Арбитражный суд Западно-Сибирского округа постановлением от 15.09.2021 определение суда первой инстанции и постановление суда апелляционной инстанции отменил; в удовлетворении заявления отказал. Степанова Елена Аркадьевна обратилась в Судебную коллегию Верховного Суда Российской Федерации с кассационной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Разрешая обособленный спор, окружной суд руководствовался положениями статей 61.1, 61.2 Федерального закона от 26.10.2002 № 127-ФЗ «О несостоятельности (банкротстве)», статьями 38, 45 Семейного кодекса Российской Федерации, разъяснениями, изложенными в пункте 9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 из отсутствия оснований для признания сделки недействительной по специальным основаниям, поскольку спорный автомобиль должнику не принадлежит. На основании вступившего в законную силу решения суда общей юрисдикции право собственности на спорный автомобиль перешло к бывшей супруге должника, заявление финансового управляющего по оспариванию сделки должника и применении последствий ее недействительности в виде возврата спорного автомобиля в конкурсную массу фактически направлено на преодоление вступившего в законную силу судебного акта суда общей юрисдикции. 3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Степановой Елене Аркадьевне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