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Татаринова Евгения Васильевича должник обратился в Арбитражный суд Московской области с заявлением об исключении из конкурсной массы единственного жилья – квартиры. Определением Арбитражного суда Московской области от 22.03.2021 заявление должника удовлетворено, из конкурсной массы должника исключена спорная квартира. Постановлением Десятого арбитражного апелляционного суда от 12.07.2021 определение суда первой инстанции оставлено без изменения. Арбитражный суд Московского округа постановлением от 05.10.2021 указанные судебные акты отменил и направил обособленный спор на новое рассмотрение в Арбитражный суд Московской области. Татаринов Евгений Васильевич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2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необходимости обеспечения справедливого баланса между имущественными интересами кредиторов и личными правами должника, а также полного и всестороннего исследования и оценки представленных доказательств, с учетом доводов и возражений лиц, участвующих в споре, окружной суд действовал в пределах полномочий, предусмотренных статьями 287, 288 Арбитражного процессуального кодекса Российской Федерации. Нарушений судом округа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Татаринову Евгению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