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05.02.2021, оставленным без изменения постановлениями Тринадцатого арбитражного апелляционного суда от 30.04.2021 и Арбитражного суда Северо-Западного округа от 30.08.2021, заявленные требования оставлены без удовлетворения. В кассационной жалобе истец ставит вопрос об отмене принятых по делу судебных актов, полагая, что они приняты при существенном нарушении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обоснование заявленных требований исполнитель ссылается на то, что обязательства по контракту выполнены им в полном объеме и надлежащим образом, в отсутствие оплаты заказчиком. При разрешении спора суды руководствовались положениями Градостроительного кодекса Российской Федерации,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Положением о проведении строительного контроля при осуществлении строительства, реконструкции и капитального ремонта объектов капитального строительства, утвержденным 3 постановлением Правительства Российской Федерации от 21.06.2010 № 468, исследовав и оценив представленные доказательства и обстоятельства дела. Отказывая в удовлетворении требований, суды исходили из установленной по делу совокупности обстоятельств, свидетельствующих о том, что исполнителем мероприятия строительного контроля не выполнены; постоянное присутствие представителя исполнителя на строительной площадке на протяжении всего срока выполнения работ не обеспечено, в связи с чем пришли к выводу о фактическом неисполнении обществом обязательств по контракту. Обстоятельства данного спора и представленные доказательства были предметом рассмотрения и оценки судов. Доводы жалобы фактически сводятся к изложению обстоятельств дела, которые были предметом исследования, не опровергают выводы судов,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«Ревиваль»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