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Лавыгиной Екатерины Сергеевны финансовый управляющий ее имуществом Кочегарова Анастасия Владиславовна обратилась в Арбитражный суд Челябинской области с заявлением о признании недействительной сделки должника с Растегаевым В.В., которой оформлено дарение 3/4 доли в праве собственности на квартиру, и применении последствий недействительности сделки в виде односторонней реституции. Определением Арбитражного суда Челябинской области от 24.02.2021 в удовлетворении заявления финансового управляющего отказано. Постановлением Восемнадцатого арбитражного апелляционного суда от 11.05.2021 определение суда первой инстанции оставлено без изменения. Арбитражный суд Уральского округа постановлением от 21.09.2021 указанные судебные акты отменил и направил обособленный спор на новое рассмотрение в Арбитражный суд Челябинской области. Растегаев Валерий Викторович обратился в Судебную коллегию по экономическим спорам Верховного Суда Российской Федерации с кассационной 2 жалобой на постановление окружного суда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для выяснения истинной природы отношений кредитора и должника (действительной общей воли) при заключении договора дарения,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Растегаеву Валерию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