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04.03.2021, оставленным без изменения постановлениями Семнадцатого арбитражного 2 апелляционного суда от 20.05.2021 и Арбитражного суда Уральского округа от 08.09.2021, в удовлетворении заявленных требований отказано. В кассационной жалобе ООО «Чистый город» ставит вопрос об отмене принятых по делу судебных актов, не согласившись с установленными по делу обстоятельствами и оценкой доказательств, полагая, что судебные акты приняты при существенном нарушении норм права. Согласно пункту 1 части 7 статьи 291.6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обращения ряда организаций, в том числе третьих лиц, антимонопольным органом приняты оспариваемые ненормативные правовые акты, в которых указано на наличие между обществами «Чистый город» и «Ареал» ограничивающего конкуренцию соглашения, что выразилось в совершении синхронных и последовательных действий, направленных на необоснованное повышение стоимости услуг по размещению и захоронению отходов производства. При разрешении спора суды руководствовались положениями Федерального закона от 26.07.2006 № 135-ФЗ «О защите конкуренции», Федерального закона от 24.06.1998 № 89-ФЗ «Об отходах производства и потребления», Гражданского кодекса Российской Федерации, Правилами проведения рекультивации и консервации земель, утвержденными постановлением Правительства Российской Федерации от 10.07.2018 № 800, 3 учитывая правовую позицию, изложенную в Постановлении Пленума Верховного Суда Российской Федерации от 04.03.2021 № 2 «О некоторых вопросах, возникающих в связи с применением судами антимонопольного законодательства», исследовав и оценив представленные доказательства. Отказывая в удовлетворении требований, суды согласились с выводами антимонопольного органа о том, что заявителями не представлено доказательств существенного изменения положения на соответствующем рынке, экономическое обоснование повышения стоимости спорных услуг не приведено, оснований для включения в стоимость спорных услуг будущих расходов на рекультивацию земельного участка, на котором расположен полигон отходов, не установлено. Обстоятельства данного спора и представленные доказательства были предметом рассмотрения и оценки судов. Доводы жалобы основаны на неверном толковании положений законодательства, фактически сводятся к изложению обстоятельств дела, которые были предметом исследования, не опровергают выводы судов, не подтверждают существенных нарушений судами норм материального и (или) процессуального права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«Чистый город»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